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773618">
      <w:pPr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  <w:r>
        <w:rPr>
          <w:rFonts w:hint="eastAsia" w:ascii="仿宋" w:hAnsi="仿宋" w:eastAsia="仿宋" w:cs="仿宋"/>
          <w:sz w:val="32"/>
          <w:szCs w:val="32"/>
        </w:rPr>
        <w:t>附件1</w:t>
      </w:r>
    </w:p>
    <w:p w14:paraId="048E8D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sz w:val="44"/>
          <w:szCs w:val="44"/>
          <w:lang w:eastAsia="zh-CN"/>
        </w:rPr>
        <w:t>华南师范大学</w:t>
      </w:r>
      <w:r>
        <w:rPr>
          <w:rFonts w:hint="eastAsia" w:ascii="方正公文小标宋" w:hAnsi="方正公文小标宋" w:eastAsia="方正公文小标宋" w:cs="方正公文小标宋"/>
          <w:sz w:val="44"/>
          <w:szCs w:val="44"/>
        </w:rPr>
        <w:t>自学考试统考课程数字资源和配套题库采购及服务需求清单</w:t>
      </w:r>
    </w:p>
    <w:p w14:paraId="2DABCD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</w:p>
    <w:p w14:paraId="18C5B940">
      <w:pPr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一、拟</w:t>
      </w:r>
      <w:r>
        <w:rPr>
          <w:rFonts w:hint="eastAsia" w:ascii="黑体" w:hAnsi="黑体" w:eastAsia="黑体" w:cs="黑体"/>
          <w:sz w:val="32"/>
          <w:szCs w:val="32"/>
        </w:rPr>
        <w:t>采购的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14</w:t>
      </w:r>
      <w:r>
        <w:rPr>
          <w:rFonts w:hint="eastAsia" w:ascii="黑体" w:hAnsi="黑体" w:eastAsia="黑体" w:cs="黑体"/>
          <w:sz w:val="32"/>
          <w:szCs w:val="32"/>
        </w:rPr>
        <w:t>门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自考课程名称及使用教材信息如下：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1"/>
        <w:gridCol w:w="1260"/>
        <w:gridCol w:w="2205"/>
        <w:gridCol w:w="825"/>
        <w:gridCol w:w="3511"/>
      </w:tblGrid>
      <w:tr w14:paraId="5648F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721" w:type="dxa"/>
            <w:vAlign w:val="center"/>
          </w:tcPr>
          <w:p w14:paraId="5D1D8B16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序号</w:t>
            </w:r>
          </w:p>
        </w:tc>
        <w:tc>
          <w:tcPr>
            <w:tcW w:w="1260" w:type="dxa"/>
            <w:vAlign w:val="center"/>
          </w:tcPr>
          <w:p w14:paraId="46FE3B9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课程代码</w:t>
            </w:r>
          </w:p>
        </w:tc>
        <w:tc>
          <w:tcPr>
            <w:tcW w:w="2205" w:type="dxa"/>
            <w:vAlign w:val="center"/>
          </w:tcPr>
          <w:p w14:paraId="710297F0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课程名称</w:t>
            </w:r>
          </w:p>
        </w:tc>
        <w:tc>
          <w:tcPr>
            <w:tcW w:w="825" w:type="dxa"/>
            <w:vAlign w:val="center"/>
          </w:tcPr>
          <w:p w14:paraId="15FFBEDE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学分</w:t>
            </w:r>
          </w:p>
        </w:tc>
        <w:tc>
          <w:tcPr>
            <w:tcW w:w="3511" w:type="dxa"/>
            <w:vAlign w:val="center"/>
          </w:tcPr>
          <w:p w14:paraId="5CF34C7B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教材名称及信息</w:t>
            </w:r>
          </w:p>
        </w:tc>
      </w:tr>
      <w:tr w14:paraId="4A675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26C7BE7E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260" w:type="dxa"/>
            <w:vAlign w:val="center"/>
          </w:tcPr>
          <w:p w14:paraId="58D40272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13683</w:t>
            </w:r>
          </w:p>
        </w:tc>
        <w:tc>
          <w:tcPr>
            <w:tcW w:w="2205" w:type="dxa"/>
            <w:vAlign w:val="center"/>
          </w:tcPr>
          <w:p w14:paraId="1D27F31B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管理学原理（中级）</w:t>
            </w:r>
          </w:p>
        </w:tc>
        <w:tc>
          <w:tcPr>
            <w:tcW w:w="825" w:type="dxa"/>
            <w:vAlign w:val="center"/>
          </w:tcPr>
          <w:p w14:paraId="437ED38D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511" w:type="dxa"/>
            <w:vAlign w:val="center"/>
          </w:tcPr>
          <w:p w14:paraId="48DB31A2">
            <w:pPr>
              <w:numPr>
                <w:ilvl w:val="0"/>
                <w:numId w:val="0"/>
              </w:num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管理学原理（中级）、白瑗峥主编、中国人民大学出版社，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2023年版</w:t>
            </w:r>
          </w:p>
        </w:tc>
      </w:tr>
      <w:tr w14:paraId="32C6C5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2E2C99D7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260" w:type="dxa"/>
            <w:vAlign w:val="center"/>
          </w:tcPr>
          <w:p w14:paraId="1BF1BC3D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13887</w:t>
            </w:r>
          </w:p>
        </w:tc>
        <w:tc>
          <w:tcPr>
            <w:tcW w:w="2205" w:type="dxa"/>
            <w:vAlign w:val="center"/>
          </w:tcPr>
          <w:p w14:paraId="1566E17E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经济学原理（中级）</w:t>
            </w:r>
          </w:p>
        </w:tc>
        <w:tc>
          <w:tcPr>
            <w:tcW w:w="825" w:type="dxa"/>
            <w:vAlign w:val="center"/>
          </w:tcPr>
          <w:p w14:paraId="149ABF31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511" w:type="dxa"/>
            <w:vAlign w:val="center"/>
          </w:tcPr>
          <w:p w14:paraId="4A503CBC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经济学原理（中级）、于春梅主编、中国人民大学出版社，2024年版</w:t>
            </w:r>
          </w:p>
        </w:tc>
      </w:tr>
      <w:tr w14:paraId="22AF4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776DE71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260" w:type="dxa"/>
            <w:vAlign w:val="center"/>
          </w:tcPr>
          <w:p w14:paraId="61838A9F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00051</w:t>
            </w:r>
          </w:p>
        </w:tc>
        <w:tc>
          <w:tcPr>
            <w:tcW w:w="2205" w:type="dxa"/>
            <w:vAlign w:val="center"/>
          </w:tcPr>
          <w:p w14:paraId="60F24644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管理系统中计算机应用</w:t>
            </w:r>
          </w:p>
        </w:tc>
        <w:tc>
          <w:tcPr>
            <w:tcW w:w="825" w:type="dxa"/>
            <w:vAlign w:val="center"/>
          </w:tcPr>
          <w:p w14:paraId="1DCBA579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511" w:type="dxa"/>
            <w:vAlign w:val="center"/>
          </w:tcPr>
          <w:p w14:paraId="7F4C438F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管理系统中计算机应用、周山芙、赵苹主编、外语教学与研究出版社，2012年版</w:t>
            </w:r>
          </w:p>
        </w:tc>
      </w:tr>
      <w:tr w14:paraId="3495BF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3FE885E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260" w:type="dxa"/>
            <w:vAlign w:val="center"/>
          </w:tcPr>
          <w:p w14:paraId="46443FC5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13811</w:t>
            </w:r>
          </w:p>
        </w:tc>
        <w:tc>
          <w:tcPr>
            <w:tcW w:w="2205" w:type="dxa"/>
            <w:vAlign w:val="center"/>
          </w:tcPr>
          <w:p w14:paraId="3C50B80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绩效管理</w:t>
            </w:r>
          </w:p>
        </w:tc>
        <w:tc>
          <w:tcPr>
            <w:tcW w:w="825" w:type="dxa"/>
            <w:vAlign w:val="center"/>
          </w:tcPr>
          <w:p w14:paraId="3F54CDC6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511" w:type="dxa"/>
            <w:vAlign w:val="center"/>
          </w:tcPr>
          <w:p w14:paraId="15CA2EB6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绩效管理、方振邦、冉景亮主编、科学出版社，2016年版</w:t>
            </w:r>
          </w:p>
        </w:tc>
      </w:tr>
      <w:tr w14:paraId="67EC91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67EC0A87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1260" w:type="dxa"/>
            <w:vAlign w:val="center"/>
          </w:tcPr>
          <w:p w14:paraId="4438DA9A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13967</w:t>
            </w:r>
          </w:p>
        </w:tc>
        <w:tc>
          <w:tcPr>
            <w:tcW w:w="2205" w:type="dxa"/>
            <w:vAlign w:val="center"/>
          </w:tcPr>
          <w:p w14:paraId="45D0D94C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劳动关系与劳动法</w:t>
            </w:r>
          </w:p>
        </w:tc>
        <w:tc>
          <w:tcPr>
            <w:tcW w:w="825" w:type="dxa"/>
            <w:vAlign w:val="center"/>
          </w:tcPr>
          <w:p w14:paraId="5A183834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511" w:type="dxa"/>
            <w:vAlign w:val="center"/>
          </w:tcPr>
          <w:p w14:paraId="036CB1A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劳动关系管理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-理论与实务、陈维政、李贵卿、毛晓燕主编、科学出版社，2024年第3版</w:t>
            </w:r>
          </w:p>
        </w:tc>
      </w:tr>
      <w:tr w14:paraId="2C9452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656A36C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1260" w:type="dxa"/>
            <w:vAlign w:val="center"/>
          </w:tcPr>
          <w:p w14:paraId="5382D0D1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11466</w:t>
            </w:r>
          </w:p>
        </w:tc>
        <w:tc>
          <w:tcPr>
            <w:tcW w:w="2205" w:type="dxa"/>
            <w:vAlign w:val="center"/>
          </w:tcPr>
          <w:p w14:paraId="08F8D6D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现代企业人力资源管理概论</w:t>
            </w:r>
          </w:p>
        </w:tc>
        <w:tc>
          <w:tcPr>
            <w:tcW w:w="825" w:type="dxa"/>
            <w:vAlign w:val="center"/>
          </w:tcPr>
          <w:p w14:paraId="6D600E1E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3511" w:type="dxa"/>
            <w:vAlign w:val="center"/>
          </w:tcPr>
          <w:p w14:paraId="424ABE70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现代企业人力资源管理概论、谌新民主编、科学出版社，2015年版</w:t>
            </w:r>
          </w:p>
        </w:tc>
      </w:tr>
      <w:tr w14:paraId="55E5F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721" w:type="dxa"/>
            <w:vAlign w:val="center"/>
          </w:tcPr>
          <w:p w14:paraId="64B67EA2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1260" w:type="dxa"/>
            <w:vAlign w:val="center"/>
          </w:tcPr>
          <w:p w14:paraId="2ABBC4A1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00037</w:t>
            </w:r>
          </w:p>
        </w:tc>
        <w:tc>
          <w:tcPr>
            <w:tcW w:w="2205" w:type="dxa"/>
            <w:vAlign w:val="center"/>
          </w:tcPr>
          <w:p w14:paraId="26BF25C2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美学</w:t>
            </w:r>
          </w:p>
        </w:tc>
        <w:tc>
          <w:tcPr>
            <w:tcW w:w="825" w:type="dxa"/>
            <w:vAlign w:val="center"/>
          </w:tcPr>
          <w:p w14:paraId="4CB0F6D0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511" w:type="dxa"/>
            <w:vAlign w:val="center"/>
          </w:tcPr>
          <w:p w14:paraId="3B474B14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美学、朱立元主编、北京出版社，2019年版</w:t>
            </w:r>
          </w:p>
        </w:tc>
      </w:tr>
      <w:tr w14:paraId="706BA3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45C45417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1260" w:type="dxa"/>
            <w:vAlign w:val="center"/>
          </w:tcPr>
          <w:p w14:paraId="57409DD6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00541</w:t>
            </w:r>
          </w:p>
        </w:tc>
        <w:tc>
          <w:tcPr>
            <w:tcW w:w="2205" w:type="dxa"/>
            <w:vAlign w:val="center"/>
          </w:tcPr>
          <w:p w14:paraId="1526B061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语言学概论</w:t>
            </w:r>
          </w:p>
        </w:tc>
        <w:tc>
          <w:tcPr>
            <w:tcW w:w="825" w:type="dxa"/>
            <w:vAlign w:val="center"/>
          </w:tcPr>
          <w:p w14:paraId="7E3872C5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511" w:type="dxa"/>
            <w:vAlign w:val="center"/>
          </w:tcPr>
          <w:p w14:paraId="579867DC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语言学概论、沈阳、贺阳主编、外语教学与研究出版社，2015年版</w:t>
            </w:r>
          </w:p>
        </w:tc>
      </w:tr>
      <w:tr w14:paraId="7D03B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5D70478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1260" w:type="dxa"/>
            <w:vAlign w:val="center"/>
          </w:tcPr>
          <w:p w14:paraId="05E63245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00538</w:t>
            </w:r>
          </w:p>
        </w:tc>
        <w:tc>
          <w:tcPr>
            <w:tcW w:w="2205" w:type="dxa"/>
            <w:vAlign w:val="center"/>
          </w:tcPr>
          <w:p w14:paraId="23768F63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中国古代文学史（一）</w:t>
            </w:r>
          </w:p>
        </w:tc>
        <w:tc>
          <w:tcPr>
            <w:tcW w:w="825" w:type="dxa"/>
            <w:vAlign w:val="center"/>
          </w:tcPr>
          <w:p w14:paraId="260AB445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3511" w:type="dxa"/>
            <w:vAlign w:val="center"/>
          </w:tcPr>
          <w:p w14:paraId="3881901F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中国古代文学史（一）、陈洪、张峰屹主编、北京大学出版社，2011年版</w:t>
            </w:r>
          </w:p>
        </w:tc>
      </w:tr>
      <w:tr w14:paraId="14505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08A36EB4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1260" w:type="dxa"/>
            <w:vAlign w:val="center"/>
          </w:tcPr>
          <w:p w14:paraId="0E26F08D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00540</w:t>
            </w:r>
          </w:p>
        </w:tc>
        <w:tc>
          <w:tcPr>
            <w:tcW w:w="2205" w:type="dxa"/>
            <w:vAlign w:val="center"/>
          </w:tcPr>
          <w:p w14:paraId="713E0158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外国文学史</w:t>
            </w:r>
          </w:p>
        </w:tc>
        <w:tc>
          <w:tcPr>
            <w:tcW w:w="825" w:type="dxa"/>
            <w:vAlign w:val="center"/>
          </w:tcPr>
          <w:p w14:paraId="47FA5B22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511" w:type="dxa"/>
            <w:vAlign w:val="center"/>
          </w:tcPr>
          <w:p w14:paraId="7E7AD68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外国文学史、孟昭毅主编、北京大学出版社，2023年版</w:t>
            </w:r>
          </w:p>
        </w:tc>
      </w:tr>
      <w:tr w14:paraId="1A4F9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70D60DF8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1260" w:type="dxa"/>
            <w:vAlign w:val="center"/>
          </w:tcPr>
          <w:p w14:paraId="6C2708DE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13003</w:t>
            </w:r>
          </w:p>
        </w:tc>
        <w:tc>
          <w:tcPr>
            <w:tcW w:w="2205" w:type="dxa"/>
            <w:vAlign w:val="center"/>
          </w:tcPr>
          <w:p w14:paraId="11274491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数据结构与算法</w:t>
            </w:r>
          </w:p>
        </w:tc>
        <w:tc>
          <w:tcPr>
            <w:tcW w:w="825" w:type="dxa"/>
            <w:vAlign w:val="center"/>
          </w:tcPr>
          <w:p w14:paraId="1193CE40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511" w:type="dxa"/>
            <w:vAlign w:val="center"/>
          </w:tcPr>
          <w:p w14:paraId="70EE377B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数据结构与算法、辛运帏主编、机械工业出版社，2024年版</w:t>
            </w:r>
          </w:p>
        </w:tc>
      </w:tr>
      <w:tr w14:paraId="35B64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375546AE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1260" w:type="dxa"/>
            <w:vAlign w:val="center"/>
          </w:tcPr>
          <w:p w14:paraId="376B18B3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13180</w:t>
            </w:r>
          </w:p>
        </w:tc>
        <w:tc>
          <w:tcPr>
            <w:tcW w:w="2205" w:type="dxa"/>
            <w:vAlign w:val="center"/>
          </w:tcPr>
          <w:p w14:paraId="7E9D2AAF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操作系统</w:t>
            </w:r>
          </w:p>
        </w:tc>
        <w:tc>
          <w:tcPr>
            <w:tcW w:w="825" w:type="dxa"/>
            <w:vAlign w:val="center"/>
          </w:tcPr>
          <w:p w14:paraId="7EF9B797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511" w:type="dxa"/>
            <w:vAlign w:val="center"/>
          </w:tcPr>
          <w:p w14:paraId="5252A500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操作系统、陈向群、孙卫真主编、机械工业出版社，2023年版</w:t>
            </w:r>
          </w:p>
        </w:tc>
      </w:tr>
      <w:tr w14:paraId="59D53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353E6760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1260" w:type="dxa"/>
            <w:vAlign w:val="center"/>
          </w:tcPr>
          <w:p w14:paraId="064DFE1E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03344</w:t>
            </w:r>
          </w:p>
        </w:tc>
        <w:tc>
          <w:tcPr>
            <w:tcW w:w="2205" w:type="dxa"/>
            <w:vAlign w:val="center"/>
          </w:tcPr>
          <w:p w14:paraId="3306FE81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信息与网络安全管理</w:t>
            </w:r>
          </w:p>
        </w:tc>
        <w:tc>
          <w:tcPr>
            <w:tcW w:w="825" w:type="dxa"/>
            <w:vAlign w:val="center"/>
          </w:tcPr>
          <w:p w14:paraId="41415276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511" w:type="dxa"/>
            <w:vAlign w:val="center"/>
          </w:tcPr>
          <w:p w14:paraId="6A05FCD0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网络空间信息安全、苏永红、蒋天发主编、电子工业出版社，2022年第2版</w:t>
            </w:r>
          </w:p>
        </w:tc>
      </w:tr>
      <w:tr w14:paraId="30EC9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1" w:type="dxa"/>
            <w:vAlign w:val="center"/>
          </w:tcPr>
          <w:p w14:paraId="1438B5BE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1260" w:type="dxa"/>
            <w:vAlign w:val="center"/>
          </w:tcPr>
          <w:p w14:paraId="3C2A5D86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02324</w:t>
            </w:r>
          </w:p>
        </w:tc>
        <w:tc>
          <w:tcPr>
            <w:tcW w:w="2205" w:type="dxa"/>
            <w:vAlign w:val="center"/>
          </w:tcPr>
          <w:p w14:paraId="70E8119A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离散数学</w:t>
            </w:r>
          </w:p>
        </w:tc>
        <w:tc>
          <w:tcPr>
            <w:tcW w:w="825" w:type="dxa"/>
            <w:vAlign w:val="center"/>
          </w:tcPr>
          <w:p w14:paraId="36F838D0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511" w:type="dxa"/>
            <w:vAlign w:val="center"/>
          </w:tcPr>
          <w:p w14:paraId="5E4043C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离散数学、辛运帏主编、机械工业出版社，2014年版</w:t>
            </w:r>
          </w:p>
        </w:tc>
      </w:tr>
    </w:tbl>
    <w:p w14:paraId="72C03CE8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二、整体课程资源要求</w:t>
      </w:r>
    </w:p>
    <w:p w14:paraId="5DB654C6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 w:bidi="ar"/>
        </w:rPr>
        <w:t>所有课程资源、题库内容须完全匹配</w:t>
      </w:r>
      <w:r>
        <w:rPr>
          <w:rStyle w:val="5"/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 w:bidi="ar"/>
        </w:rPr>
        <w:t>全国高等教育自学考试最新考试大纲及指定教材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 w:bidi="ar"/>
        </w:rPr>
        <w:t>，贴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合自考统考命题规律，适配自考助学教学及考生备考需求，内容准确、无知识点错误、无过期内容。</w:t>
      </w:r>
    </w:p>
    <w:p w14:paraId="675BCB53">
      <w:pPr>
        <w:keepNext w:val="0"/>
        <w:keepLines w:val="0"/>
        <w:widowControl/>
        <w:suppressLineNumbers w:val="0"/>
        <w:ind w:firstLine="643" w:firstLineChars="200"/>
        <w:jc w:val="left"/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（一）课程学习视频资源要求</w:t>
      </w:r>
    </w:p>
    <w:p w14:paraId="26E86D9D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1.内容要求：由专业授课教师录制，知识点讲解精准、重点突出、逻辑清晰、通俗易懂，聚焦考点精讲、难点拆解、易错点分析，贴合自考应试需求，无冗余内容、无知识点偏差。</w:t>
      </w:r>
    </w:p>
    <w:p w14:paraId="7256BDA6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.学时时长标准：严格按照学分核算视频时长，1学分对应视频时长不低于144分钟，6学分课程视频总时长不低于864分钟，其余学分课程按此标准等比核算。供应商需单独提供《视频时长-课程章节-知识点对应清单》，明确每章节视频个数、单视频时长、总时长。</w:t>
      </w:r>
    </w:p>
    <w:p w14:paraId="4399249B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3.制作技术标准</w:t>
      </w:r>
    </w:p>
    <w:p w14:paraId="09ECD64B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（1）格式：通用高清MP4格式，兼容主流播放设备及平台；</w:t>
      </w:r>
    </w:p>
    <w:p w14:paraId="40ABCE02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（2）分辨率：≥1920*1080P高清画质，画面清晰、无模糊、无卡顿、无水印；</w:t>
      </w:r>
    </w:p>
    <w:p w14:paraId="684CC3F8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（3）音频：立体声音质，清晰无杂音、无电流声、无语速失真，人声清晰通透；</w:t>
      </w:r>
    </w:p>
    <w:p w14:paraId="77D37482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（4）呈现形式：支持教师实景讲授、PPT精讲、动画演示、案例讲解等多种形式，画面排版规范，重点知识点标注清晰，提升学习趣味性；</w:t>
      </w:r>
    </w:p>
    <w:p w14:paraId="5DF8AE6F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（5）画面规范：所有视频片头统一添加华南师范大学LOGO，无供应商logo、无商业广告、无无关水印。</w:t>
      </w:r>
    </w:p>
    <w:p w14:paraId="5B658F50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4.版权要求：供应商拥有所有视频资源完整著作权、版权及使用权，无版权纠纷、无授权限制，可永久授权学校用于自考助学及培训使用，可提供版权声明文件。</w:t>
      </w:r>
    </w:p>
    <w:p w14:paraId="54504E7C">
      <w:pPr>
        <w:keepNext w:val="0"/>
        <w:keepLines w:val="0"/>
        <w:widowControl/>
        <w:suppressLineNumbers w:val="0"/>
        <w:ind w:firstLine="643" w:firstLineChars="200"/>
        <w:jc w:val="left"/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（二）课程练习与模拟考试题库资源要求</w:t>
      </w:r>
    </w:p>
    <w:p w14:paraId="621CE7BA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所有题库题目原创合规、无重复、无错题、无超纲题，适配自考统考难度，所有题目均配套标准答案+详细解析，解析贴合考点、通俗易懂。</w:t>
      </w:r>
    </w:p>
    <w:p w14:paraId="37195B26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1.章节练习题</w:t>
      </w:r>
    </w:p>
    <w:p w14:paraId="6C70A38C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（1）配置标准：每章节配套1套章节练习题，单门课程章节练习题总题量不低于200道；</w:t>
      </w:r>
    </w:p>
    <w:p w14:paraId="72164C75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（2）题型要求：以单项选择题、多项选择题为主，兼顾核心知识点考查；</w:t>
      </w:r>
    </w:p>
    <w:p w14:paraId="02F4F058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（3）难度分层：严格分为基础题、巩固题、提高题三个层级，适配零基础、进阶拔高、考前冲刺不同学习阶段；</w:t>
      </w:r>
    </w:p>
    <w:p w14:paraId="527A70B3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（4）内容要求：题目对应章节核心知识点，无偏题、怪题、超纲题，贴合历年真题命题方向。</w:t>
      </w:r>
    </w:p>
    <w:p w14:paraId="6E2B0FA8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2.阶段测验卷</w:t>
      </w:r>
    </w:p>
    <w:p w14:paraId="5924CF23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（1）配置标准：每2-3个关联章节配套1套阶段测验卷，单章节配套测验题量不低于20道；</w:t>
      </w:r>
    </w:p>
    <w:p w14:paraId="4B2E074B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（2）题型要求：以单项选择题、多项选择题为主，兼顾核心知识点考查；</w:t>
      </w:r>
    </w:p>
    <w:p w14:paraId="772B0AD5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（3）难度标准：分层设置基础、巩固、提高难度，用于阶段性学情检测、知识点查漏补缺。</w:t>
      </w:r>
    </w:p>
    <w:p w14:paraId="726EAEE2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3.全真模拟考试卷</w:t>
      </w:r>
    </w:p>
    <w:p w14:paraId="1139512E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（1）配置数量：每门课程不少于4套全真模拟试卷；</w:t>
      </w:r>
    </w:p>
    <w:p w14:paraId="27433BFA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（2）命题标准：试卷题型、题量、分值分布、考试时长、难度系数对标近3年自考统考真题，具备极强的模拟性、预测性；</w:t>
      </w:r>
    </w:p>
    <w:p w14:paraId="466C025B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（3）题型全覆盖：包含课程所有统考必考题型，分值配比科学合理。</w:t>
      </w:r>
    </w:p>
    <w:p w14:paraId="68314AF6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4.答案与解析标准</w:t>
      </w:r>
    </w:p>
    <w:p w14:paraId="0894B3A9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所有习题、试卷均需配套标准答案+精细化解析，不得仅提供答案。解析需包含：解题思路、核心考查知识点、易错点警示、知识点延伸拓展，帮助学生理解考点、掌握答题方法，适配助学教学需求。</w:t>
      </w:r>
    </w:p>
    <w:p w14:paraId="179E3085">
      <w:pPr>
        <w:keepNext w:val="0"/>
        <w:keepLines w:val="0"/>
        <w:widowControl/>
        <w:suppressLineNumbers w:val="0"/>
        <w:ind w:firstLine="643" w:firstLineChars="200"/>
        <w:jc w:val="left"/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（三）资源格式规范</w:t>
      </w:r>
    </w:p>
    <w:p w14:paraId="1309A04A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1.文档类资源：所有练习题、测验卷、模拟试卷、答案解析、大纲知识点对照表，全部提供可编辑Word格式，支持学校自主修改、调整、排版使用；</w:t>
      </w:r>
    </w:p>
    <w:p w14:paraId="05DBD836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2.视频类资源：全部为高清MP4格式，严格按“课程名称-章节序号-章节名称”规范命名分类，文件夹层级清晰、统一规整；</w:t>
      </w:r>
    </w:p>
    <w:p w14:paraId="1157983E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3.配套元数据：所有资源附带统一说明文档，清晰标注资源名称、对应课程章节、视频时长、题目数量、适配教材版本等完整信息。</w:t>
      </w:r>
    </w:p>
    <w:p w14:paraId="1325C6B6">
      <w:pPr>
        <w:keepNext w:val="0"/>
        <w:keepLines w:val="0"/>
        <w:widowControl/>
        <w:suppressLineNumbers w:val="0"/>
        <w:ind w:firstLine="643" w:firstLineChars="200"/>
        <w:jc w:val="left"/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 w:bidi="ar"/>
        </w:rPr>
        <w:t>（四）交付、服务要求</w:t>
      </w:r>
    </w:p>
    <w:p w14:paraId="70CD70DA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1.交付方式：供应商提供全新高速移动硬盘，一次性交付全部合规资源，硬盘内资源分类清晰、命名规范、无缺失、无损坏、无病毒。</w:t>
      </w:r>
    </w:p>
    <w:p w14:paraId="57248AB1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2.资源落地服务：供应商免费负责将全部资源精准录入学校自考网络助学平台，完成资源上架、确保资源可正常播放、题目可正常使用，适配平台系统参数。</w:t>
      </w:r>
    </w:p>
    <w:p w14:paraId="2C48F9E6">
      <w:pPr>
        <w:widowControl w:val="0"/>
        <w:numPr>
          <w:ilvl w:val="0"/>
          <w:numId w:val="0"/>
        </w:numPr>
        <w:jc w:val="both"/>
        <w:rPr>
          <w:rFonts w:hint="eastAsia" w:ascii="仿宋" w:hAnsi="仿宋" w:eastAsia="仿宋" w:cs="仿宋"/>
          <w:sz w:val="32"/>
          <w:szCs w:val="32"/>
        </w:rPr>
      </w:pPr>
    </w:p>
    <w:p w14:paraId="7147E6CC">
      <w:pPr>
        <w:widowControl w:val="0"/>
        <w:numPr>
          <w:ilvl w:val="0"/>
          <w:numId w:val="0"/>
        </w:numPr>
        <w:jc w:val="both"/>
        <w:rPr>
          <w:rFonts w:hint="eastAsia" w:ascii="仿宋" w:hAnsi="仿宋" w:eastAsia="仿宋" w:cs="仿宋"/>
          <w:sz w:val="32"/>
          <w:szCs w:val="32"/>
        </w:rPr>
      </w:pPr>
    </w:p>
    <w:p w14:paraId="5DF2F57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PSEMBED1">
    <w:panose1 w:val="02000500000000000000"/>
    <w:charset w:val="86"/>
    <w:family w:val="auto"/>
    <w:pitch w:val="default"/>
    <w:sig w:usb0="A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97265A"/>
    <w:rsid w:val="176B6973"/>
    <w:rsid w:val="5C0547C0"/>
    <w:rsid w:val="6D332183"/>
    <w:rsid w:val="7C811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2093</Words>
  <Characters>2243</Characters>
  <Lines>0</Lines>
  <Paragraphs>0</Paragraphs>
  <TotalTime>4</TotalTime>
  <ScaleCrop>false</ScaleCrop>
  <LinksUpToDate>false</LinksUpToDate>
  <CharactersWithSpaces>2243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2026-06-30T07:09:00Z</dcterms:created>
  <dc:creator>Class</dc:creator>
  <cp:lastModifiedBy>魏小瑜</cp:lastModifiedBy>
  <dcterms:modified xsi:type="dcterms:W3CDTF">2026-06-30T07:34:44Z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eyJoZGlkIjoiZTk3ZWZiZjE0ZmM4NmJlMGYzMzBkNmU5YTVmMzE3YzkiLCJ1c2VySWQiOiIxNjg3MTQ5ODQ1In0=</vt:lpwstr>
  </property>
  <property fmtid="{D5CDD505-2E9C-101B-9397-08002B2CF9AE}" pid="4" name="ICV">
    <vt:lpwstr>CC12804A4D66428191A1DED01A1BE858_13</vt:lpwstr>
  </property>
</Properties>
</file>